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F370" w14:textId="4B9820FC" w:rsidR="00A611A7" w:rsidRDefault="00A611A7" w:rsidP="00A611A7">
      <w:pPr>
        <w:spacing w:line="360" w:lineRule="auto"/>
        <w:ind w:firstLineChars="200" w:firstLine="482"/>
        <w:jc w:val="center"/>
        <w:rPr>
          <w:rFonts w:ascii="宋体" w:hAnsi="宋体" w:hint="eastAsia"/>
          <w:sz w:val="24"/>
        </w:rPr>
      </w:pPr>
      <w:r w:rsidRPr="00A611A7">
        <w:rPr>
          <w:rFonts w:ascii="宋体" w:hAnsi="宋体" w:hint="eastAsia"/>
          <w:b/>
          <w:bCs/>
          <w:sz w:val="24"/>
        </w:rPr>
        <w:t>新一代ARP</w:t>
      </w:r>
      <w:r w:rsidR="007B2F07">
        <w:rPr>
          <w:rFonts w:ascii="宋体" w:hAnsi="宋体" w:hint="eastAsia"/>
          <w:b/>
          <w:bCs/>
          <w:sz w:val="24"/>
        </w:rPr>
        <w:t>支出调账业务办理流程</w:t>
      </w:r>
    </w:p>
    <w:p w14:paraId="2F4EE89D" w14:textId="2F70DBDB" w:rsidR="00E30F3D" w:rsidRPr="00F43533" w:rsidRDefault="007B2F07" w:rsidP="00F43533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支出调账</w:t>
      </w:r>
      <w:r w:rsidR="00E30F3D" w:rsidRPr="00F43533">
        <w:rPr>
          <w:rFonts w:ascii="宋体" w:hAnsi="宋体" w:hint="eastAsia"/>
          <w:sz w:val="24"/>
        </w:rPr>
        <w:t>需通过</w:t>
      </w:r>
      <w:r>
        <w:rPr>
          <w:rFonts w:ascii="宋体" w:hAnsi="宋体" w:hint="eastAsia"/>
          <w:sz w:val="24"/>
        </w:rPr>
        <w:t>新一代</w:t>
      </w:r>
      <w:r w:rsidR="00E30F3D" w:rsidRPr="00F43533">
        <w:rPr>
          <w:rFonts w:ascii="宋体" w:hAnsi="宋体" w:hint="eastAsia"/>
          <w:sz w:val="24"/>
        </w:rPr>
        <w:t>A</w:t>
      </w:r>
      <w:r w:rsidR="00E30F3D" w:rsidRPr="00F43533">
        <w:rPr>
          <w:rFonts w:ascii="宋体" w:hAnsi="宋体"/>
          <w:sz w:val="24"/>
        </w:rPr>
        <w:t>RP</w:t>
      </w:r>
      <w:r w:rsidR="00E30F3D" w:rsidRPr="00F43533">
        <w:rPr>
          <w:rFonts w:ascii="宋体" w:hAnsi="宋体" w:hint="eastAsia"/>
          <w:sz w:val="24"/>
        </w:rPr>
        <w:t>系统填制</w:t>
      </w:r>
      <w:r>
        <w:rPr>
          <w:rFonts w:ascii="宋体" w:hAnsi="宋体" w:hint="eastAsia"/>
          <w:sz w:val="24"/>
        </w:rPr>
        <w:t>支出调账</w:t>
      </w:r>
      <w:r w:rsidR="00E30F3D" w:rsidRPr="00F43533">
        <w:rPr>
          <w:rFonts w:ascii="宋体" w:hAnsi="宋体" w:hint="eastAsia"/>
          <w:sz w:val="24"/>
        </w:rPr>
        <w:t>单，</w:t>
      </w:r>
      <w:r w:rsidR="00A611A7" w:rsidRPr="00F43533">
        <w:rPr>
          <w:rFonts w:ascii="宋体" w:hAnsi="宋体" w:hint="eastAsia"/>
          <w:sz w:val="24"/>
        </w:rPr>
        <w:t>提交</w:t>
      </w:r>
      <w:proofErr w:type="gramStart"/>
      <w:r w:rsidR="00A611A7" w:rsidRPr="00F43533">
        <w:rPr>
          <w:rFonts w:ascii="宋体" w:hAnsi="宋体" w:hint="eastAsia"/>
          <w:sz w:val="24"/>
        </w:rPr>
        <w:t>并待线上</w:t>
      </w:r>
      <w:proofErr w:type="gramEnd"/>
      <w:r w:rsidR="00A611A7" w:rsidRPr="00F43533">
        <w:rPr>
          <w:rFonts w:ascii="宋体" w:hAnsi="宋体" w:hint="eastAsia"/>
          <w:sz w:val="24"/>
        </w:rPr>
        <w:t>审批完成后打印</w:t>
      </w:r>
      <w:r>
        <w:rPr>
          <w:rFonts w:ascii="宋体" w:hAnsi="宋体" w:hint="eastAsia"/>
          <w:sz w:val="24"/>
        </w:rPr>
        <w:t>支出调账</w:t>
      </w:r>
      <w:r w:rsidR="00A611A7" w:rsidRPr="00F43533"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24"/>
        </w:rPr>
        <w:t>申请表</w:t>
      </w:r>
      <w:r w:rsidR="00F43533">
        <w:rPr>
          <w:rFonts w:ascii="宋体" w:hAnsi="宋体" w:hint="eastAsia"/>
          <w:sz w:val="24"/>
        </w:rPr>
        <w:t>，将纸质</w:t>
      </w:r>
      <w:r>
        <w:rPr>
          <w:rFonts w:ascii="宋体" w:hAnsi="宋体" w:hint="eastAsia"/>
          <w:sz w:val="24"/>
        </w:rPr>
        <w:t>单据</w:t>
      </w:r>
      <w:r w:rsidR="00F43533">
        <w:rPr>
          <w:rFonts w:ascii="宋体" w:hAnsi="宋体" w:hint="eastAsia"/>
          <w:sz w:val="24"/>
        </w:rPr>
        <w:t>提交财务资产处办理</w:t>
      </w:r>
      <w:r w:rsidR="00E30F3D" w:rsidRPr="00F43533">
        <w:rPr>
          <w:rFonts w:ascii="宋体" w:hAnsi="宋体" w:hint="eastAsia"/>
          <w:sz w:val="24"/>
        </w:rPr>
        <w:t>。</w:t>
      </w:r>
    </w:p>
    <w:p w14:paraId="013E92D9" w14:textId="7A20FAC5" w:rsidR="00E30F3D" w:rsidRPr="00F43533" w:rsidRDefault="00A611A7" w:rsidP="00E30F3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一、</w:t>
      </w:r>
      <w:r w:rsidR="007B2F07">
        <w:rPr>
          <w:rFonts w:ascii="宋体" w:hAnsi="宋体" w:hint="eastAsia"/>
          <w:sz w:val="24"/>
        </w:rPr>
        <w:t>支出调账</w:t>
      </w:r>
      <w:r w:rsidR="00E30F3D" w:rsidRPr="00F43533">
        <w:rPr>
          <w:rFonts w:ascii="宋体" w:hAnsi="宋体"/>
          <w:sz w:val="24"/>
        </w:rPr>
        <w:t>单的填写</w:t>
      </w:r>
    </w:p>
    <w:p w14:paraId="58945111" w14:textId="0E8404CC" w:rsidR="00E30F3D" w:rsidRPr="00F43533" w:rsidRDefault="00A611A7" w:rsidP="00A611A7">
      <w:pPr>
        <w:pStyle w:val="a3"/>
        <w:spacing w:line="360" w:lineRule="auto"/>
        <w:ind w:firstLineChars="177" w:firstLine="425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1.</w:t>
      </w:r>
      <w:r w:rsidR="00E30F3D" w:rsidRPr="00F43533">
        <w:rPr>
          <w:rFonts w:ascii="宋体" w:hAnsi="宋体" w:hint="eastAsia"/>
          <w:sz w:val="24"/>
        </w:rPr>
        <w:t>登录ARP系统</w:t>
      </w:r>
      <w:r w:rsidR="00E30F3D" w:rsidRPr="00F43533">
        <w:rPr>
          <w:rFonts w:ascii="宋体" w:hAnsi="宋体"/>
          <w:sz w:val="24"/>
        </w:rPr>
        <w:t>，</w:t>
      </w:r>
      <w:r w:rsidR="00E30F3D" w:rsidRPr="00F43533">
        <w:rPr>
          <w:rFonts w:ascii="宋体" w:hAnsi="宋体" w:hint="eastAsia"/>
          <w:sz w:val="24"/>
        </w:rPr>
        <w:t>综合财务→</w:t>
      </w:r>
      <w:r w:rsidR="007B2F07">
        <w:rPr>
          <w:rFonts w:ascii="宋体" w:hAnsi="宋体" w:hint="eastAsia"/>
          <w:sz w:val="24"/>
        </w:rPr>
        <w:t>报销管理</w:t>
      </w:r>
      <w:r w:rsidR="00E30F3D" w:rsidRPr="00F43533">
        <w:rPr>
          <w:rFonts w:ascii="宋体" w:hAnsi="宋体" w:hint="eastAsia"/>
          <w:sz w:val="24"/>
        </w:rPr>
        <w:t>→</w:t>
      </w:r>
      <w:r w:rsidR="007B2F07">
        <w:rPr>
          <w:rFonts w:ascii="宋体" w:hAnsi="宋体" w:hint="eastAsia"/>
          <w:sz w:val="24"/>
        </w:rPr>
        <w:t>支出调账单</w:t>
      </w:r>
      <w:r w:rsidR="00E30F3D" w:rsidRPr="00F43533">
        <w:rPr>
          <w:rFonts w:ascii="宋体" w:hAnsi="宋体" w:hint="eastAsia"/>
          <w:sz w:val="24"/>
        </w:rPr>
        <w:t>。</w:t>
      </w:r>
    </w:p>
    <w:p w14:paraId="4CF6E8E5" w14:textId="7756FC9B" w:rsidR="00E30F3D" w:rsidRDefault="007B2F07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5F25CBFB" wp14:editId="46C7A650">
            <wp:extent cx="5274310" cy="2056765"/>
            <wp:effectExtent l="0" t="0" r="2540" b="635"/>
            <wp:docPr id="1107506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062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77D4" w14:textId="72B4742D" w:rsidR="00E30F3D" w:rsidRPr="00F43533" w:rsidRDefault="007B2F07" w:rsidP="007B2F07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38ADCD2C" wp14:editId="083BA1A2">
            <wp:extent cx="5274310" cy="1078230"/>
            <wp:effectExtent l="0" t="0" r="2540" b="7620"/>
            <wp:docPr id="2017387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876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A6FA" w14:textId="2C80D243" w:rsidR="00C15493" w:rsidRDefault="00A611A7" w:rsidP="00A611A7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2.</w:t>
      </w:r>
      <w:r w:rsidR="00E30F3D" w:rsidRPr="00F43533">
        <w:rPr>
          <w:rFonts w:ascii="宋体" w:hAnsi="宋体" w:hint="eastAsia"/>
          <w:sz w:val="24"/>
        </w:rPr>
        <w:t>填写基本信息</w:t>
      </w:r>
      <w:r w:rsidR="00CD2945">
        <w:rPr>
          <w:rFonts w:ascii="宋体" w:hAnsi="宋体" w:hint="eastAsia"/>
          <w:sz w:val="24"/>
        </w:rPr>
        <w:t>与调账明细</w:t>
      </w:r>
    </w:p>
    <w:p w14:paraId="1E27A41C" w14:textId="1DFB3DA4" w:rsidR="00C15493" w:rsidRDefault="00E30F3D" w:rsidP="00A611A7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 w:rsidRPr="00F43533">
        <w:rPr>
          <w:rFonts w:ascii="宋体" w:hAnsi="宋体" w:hint="eastAsia"/>
          <w:sz w:val="24"/>
        </w:rPr>
        <w:t>据实填写</w:t>
      </w:r>
      <w:r w:rsidR="007B2F07">
        <w:rPr>
          <w:rFonts w:ascii="宋体" w:hAnsi="宋体" w:hint="eastAsia"/>
          <w:sz w:val="24"/>
        </w:rPr>
        <w:t>调账说明</w:t>
      </w:r>
      <w:r w:rsidR="00105195">
        <w:rPr>
          <w:rFonts w:ascii="宋体" w:hAnsi="宋体" w:hint="eastAsia"/>
          <w:sz w:val="24"/>
        </w:rPr>
        <w:t>，</w:t>
      </w:r>
      <w:r w:rsidR="00C15493">
        <w:rPr>
          <w:rFonts w:ascii="宋体" w:hAnsi="宋体" w:hint="eastAsia"/>
          <w:sz w:val="24"/>
        </w:rPr>
        <w:t>应着重</w:t>
      </w:r>
      <w:r w:rsidR="006735CF">
        <w:rPr>
          <w:rFonts w:ascii="宋体" w:hAnsi="宋体" w:hint="eastAsia"/>
          <w:sz w:val="24"/>
        </w:rPr>
        <w:t>说明</w:t>
      </w:r>
      <w:r w:rsidR="00C15493">
        <w:rPr>
          <w:rFonts w:ascii="宋体" w:hAnsi="宋体" w:hint="eastAsia"/>
          <w:sz w:val="24"/>
        </w:rPr>
        <w:t>“调整的支出与转入核算账号的相关性</w:t>
      </w:r>
      <w:r w:rsidR="00C15493" w:rsidRPr="00C15493">
        <w:rPr>
          <w:rFonts w:ascii="宋体" w:hAnsi="宋体" w:hint="eastAsia"/>
          <w:sz w:val="24"/>
        </w:rPr>
        <w:t>”</w:t>
      </w:r>
      <w:r w:rsidR="00C15493">
        <w:rPr>
          <w:rFonts w:ascii="宋体" w:hAnsi="宋体" w:hint="eastAsia"/>
          <w:sz w:val="24"/>
        </w:rPr>
        <w:t>；</w:t>
      </w:r>
    </w:p>
    <w:p w14:paraId="6987A78D" w14:textId="18DB5D40" w:rsidR="00C15493" w:rsidRPr="00C15493" w:rsidRDefault="00105195" w:rsidP="00C15493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选择转出</w:t>
      </w:r>
      <w:r w:rsidR="00CD2945">
        <w:rPr>
          <w:rFonts w:ascii="宋体" w:hAnsi="宋体" w:hint="eastAsia"/>
          <w:sz w:val="24"/>
        </w:rPr>
        <w:t>转入</w:t>
      </w:r>
      <w:r>
        <w:rPr>
          <w:rFonts w:ascii="宋体" w:hAnsi="宋体" w:hint="eastAsia"/>
          <w:sz w:val="24"/>
        </w:rPr>
        <w:t>核算账号编码</w:t>
      </w:r>
      <w:r w:rsidR="001840D7">
        <w:rPr>
          <w:rFonts w:ascii="宋体" w:hAnsi="宋体" w:hint="eastAsia"/>
          <w:sz w:val="24"/>
        </w:rPr>
        <w:t>，</w:t>
      </w:r>
      <w:proofErr w:type="gramStart"/>
      <w:r w:rsidR="001840D7">
        <w:rPr>
          <w:rFonts w:ascii="宋体" w:hAnsi="宋体" w:hint="eastAsia"/>
          <w:sz w:val="24"/>
        </w:rPr>
        <w:t>勾选需要</w:t>
      </w:r>
      <w:proofErr w:type="gramEnd"/>
      <w:r w:rsidR="001840D7">
        <w:rPr>
          <w:rFonts w:ascii="宋体" w:hAnsi="宋体" w:hint="eastAsia"/>
          <w:sz w:val="24"/>
        </w:rPr>
        <w:t>调出的支出凭证</w:t>
      </w:r>
      <w:r w:rsidR="001709E9">
        <w:rPr>
          <w:rFonts w:ascii="宋体" w:hAnsi="宋体" w:hint="eastAsia"/>
          <w:sz w:val="24"/>
        </w:rPr>
        <w:t>。</w:t>
      </w:r>
    </w:p>
    <w:p w14:paraId="73473F28" w14:textId="7A38CC69" w:rsidR="00E30F3D" w:rsidRDefault="00105195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7006DC04" wp14:editId="141FF7BF">
            <wp:extent cx="5274310" cy="1725295"/>
            <wp:effectExtent l="0" t="0" r="2540" b="8255"/>
            <wp:docPr id="2145240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2409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DF8D9" w14:textId="22BF1145" w:rsidR="00105195" w:rsidRDefault="00CD2945" w:rsidP="00E30F3D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17065BCF" wp14:editId="4B01AF94">
            <wp:extent cx="5274310" cy="965835"/>
            <wp:effectExtent l="0" t="0" r="2540" b="5715"/>
            <wp:docPr id="2450070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070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87B7" w14:textId="34748759" w:rsidR="001840D7" w:rsidRDefault="00CD2945" w:rsidP="00CD2945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689C0AC" wp14:editId="72334896">
            <wp:extent cx="5274310" cy="970280"/>
            <wp:effectExtent l="0" t="0" r="2540" b="1270"/>
            <wp:docPr id="364536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36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7D34" w14:textId="507B7808" w:rsidR="001709E9" w:rsidRDefault="001709E9" w:rsidP="001709E9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如需部分调整该笔凭证的支出金额，可在</w:t>
      </w:r>
      <w:proofErr w:type="gramStart"/>
      <w:r>
        <w:rPr>
          <w:rFonts w:ascii="宋体" w:hAnsi="宋体" w:hint="eastAsia"/>
          <w:sz w:val="24"/>
        </w:rPr>
        <w:t>勾选确定</w:t>
      </w:r>
      <w:proofErr w:type="gramEnd"/>
      <w:r>
        <w:rPr>
          <w:rFonts w:ascii="宋体" w:hAnsi="宋体" w:hint="eastAsia"/>
          <w:sz w:val="24"/>
        </w:rPr>
        <w:t>后，手工输入调整调账金额。</w:t>
      </w:r>
    </w:p>
    <w:p w14:paraId="3A5F324A" w14:textId="6F77A8C2" w:rsidR="001709E9" w:rsidRPr="00F43533" w:rsidRDefault="001709E9" w:rsidP="00CD2945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5C920BEB" wp14:editId="70417E23">
            <wp:extent cx="5274310" cy="1379220"/>
            <wp:effectExtent l="0" t="0" r="2540" b="0"/>
            <wp:docPr id="1185587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872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C702" w14:textId="77777777" w:rsidR="0043000F" w:rsidRPr="00F43533" w:rsidRDefault="0043000F" w:rsidP="00F43533">
      <w:pPr>
        <w:pStyle w:val="a3"/>
        <w:spacing w:line="360" w:lineRule="auto"/>
        <w:ind w:firstLineChars="236" w:firstLine="566"/>
        <w:rPr>
          <w:rFonts w:ascii="宋体" w:hAnsi="宋体" w:hint="eastAsia"/>
          <w:sz w:val="24"/>
        </w:rPr>
      </w:pPr>
    </w:p>
    <w:p w14:paraId="0025E651" w14:textId="77777777" w:rsidR="00CD2945" w:rsidRPr="005A6D8B" w:rsidRDefault="00CD2945" w:rsidP="00CD2945">
      <w:pPr>
        <w:spacing w:line="360" w:lineRule="auto"/>
        <w:ind w:firstLineChars="224" w:firstLine="538"/>
        <w:rPr>
          <w:rFonts w:ascii="宋体" w:hAnsi="宋体" w:hint="eastAsia"/>
          <w:sz w:val="24"/>
        </w:rPr>
      </w:pPr>
      <w:r w:rsidRPr="005A6D8B">
        <w:rPr>
          <w:rFonts w:ascii="宋体" w:hAnsi="宋体" w:hint="eastAsia"/>
          <w:sz w:val="24"/>
        </w:rPr>
        <w:t>二、支出调账单线上审批流程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88"/>
        <w:gridCol w:w="3118"/>
        <w:gridCol w:w="4253"/>
      </w:tblGrid>
      <w:tr w:rsidR="00CD2945" w:rsidRPr="005A6D8B" w14:paraId="11DB7629" w14:textId="77777777" w:rsidTr="00CD2945">
        <w:tc>
          <w:tcPr>
            <w:tcW w:w="988" w:type="dxa"/>
          </w:tcPr>
          <w:p w14:paraId="490171CA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</w:tcPr>
          <w:p w14:paraId="57772D59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流程环节</w:t>
            </w:r>
          </w:p>
        </w:tc>
        <w:tc>
          <w:tcPr>
            <w:tcW w:w="4253" w:type="dxa"/>
          </w:tcPr>
          <w:p w14:paraId="121384D4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D2945" w:rsidRPr="005A6D8B" w14:paraId="72EB1A2A" w14:textId="77777777" w:rsidTr="00CD2945">
        <w:tc>
          <w:tcPr>
            <w:tcW w:w="988" w:type="dxa"/>
          </w:tcPr>
          <w:p w14:paraId="2B50BEC4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</w:tcPr>
          <w:p w14:paraId="53B31DB3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转出核算账号负责人审批</w:t>
            </w:r>
          </w:p>
        </w:tc>
        <w:tc>
          <w:tcPr>
            <w:tcW w:w="4253" w:type="dxa"/>
          </w:tcPr>
          <w:p w14:paraId="19873438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D2945" w:rsidRPr="005A6D8B" w14:paraId="7B7885A0" w14:textId="77777777" w:rsidTr="00CD2945">
        <w:tc>
          <w:tcPr>
            <w:tcW w:w="988" w:type="dxa"/>
          </w:tcPr>
          <w:p w14:paraId="4057A496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</w:tcPr>
          <w:p w14:paraId="7D51D48C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转出部门负责人审批</w:t>
            </w:r>
          </w:p>
        </w:tc>
        <w:tc>
          <w:tcPr>
            <w:tcW w:w="4253" w:type="dxa"/>
          </w:tcPr>
          <w:p w14:paraId="4753F8B1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D2945" w:rsidRPr="005A6D8B" w14:paraId="6229224A" w14:textId="77777777" w:rsidTr="00CD2945">
        <w:tc>
          <w:tcPr>
            <w:tcW w:w="988" w:type="dxa"/>
          </w:tcPr>
          <w:p w14:paraId="59AB3778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8" w:type="dxa"/>
          </w:tcPr>
          <w:p w14:paraId="187BE99D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转入核算账号负责人审批</w:t>
            </w:r>
          </w:p>
        </w:tc>
        <w:tc>
          <w:tcPr>
            <w:tcW w:w="4253" w:type="dxa"/>
          </w:tcPr>
          <w:p w14:paraId="64BDD88A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D2945" w:rsidRPr="005A6D8B" w14:paraId="722BC6FB" w14:textId="77777777" w:rsidTr="00CD2945">
        <w:tc>
          <w:tcPr>
            <w:tcW w:w="988" w:type="dxa"/>
          </w:tcPr>
          <w:p w14:paraId="5F1549E5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</w:tcPr>
          <w:p w14:paraId="4EC0CE4D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转入部门负责人审批</w:t>
            </w:r>
          </w:p>
        </w:tc>
        <w:tc>
          <w:tcPr>
            <w:tcW w:w="4253" w:type="dxa"/>
          </w:tcPr>
          <w:p w14:paraId="55B74054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D2945" w:rsidRPr="005A6D8B" w14:paraId="7C91F76D" w14:textId="77777777" w:rsidTr="00CD2945">
        <w:tc>
          <w:tcPr>
            <w:tcW w:w="988" w:type="dxa"/>
          </w:tcPr>
          <w:p w14:paraId="147D7DAD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8" w:type="dxa"/>
          </w:tcPr>
          <w:p w14:paraId="2D4B1E4E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归口职能部门主管审批</w:t>
            </w:r>
          </w:p>
        </w:tc>
        <w:tc>
          <w:tcPr>
            <w:tcW w:w="4253" w:type="dxa"/>
          </w:tcPr>
          <w:p w14:paraId="35D6629D" w14:textId="0DE10992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转入核算账号对应的</w:t>
            </w:r>
            <w:r w:rsidRPr="005A6D8B">
              <w:rPr>
                <w:rFonts w:ascii="宋体" w:hAnsi="宋体" w:hint="eastAsia"/>
                <w:sz w:val="24"/>
              </w:rPr>
              <w:t>职能部门相关项目主管审批</w:t>
            </w:r>
          </w:p>
        </w:tc>
      </w:tr>
      <w:tr w:rsidR="00CD2945" w:rsidRPr="005A6D8B" w14:paraId="2A8B8C9A" w14:textId="77777777" w:rsidTr="00CD2945">
        <w:tc>
          <w:tcPr>
            <w:tcW w:w="988" w:type="dxa"/>
          </w:tcPr>
          <w:p w14:paraId="06CDFB00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8" w:type="dxa"/>
          </w:tcPr>
          <w:p w14:paraId="2722DFC8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财务部门负责人审批</w:t>
            </w:r>
          </w:p>
        </w:tc>
        <w:tc>
          <w:tcPr>
            <w:tcW w:w="4253" w:type="dxa"/>
          </w:tcPr>
          <w:p w14:paraId="7FEFB8A5" w14:textId="77777777" w:rsidR="00CD2945" w:rsidRPr="005A6D8B" w:rsidRDefault="00CD2945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D2945" w:rsidRPr="005A6D8B" w14:paraId="6C0190CD" w14:textId="77777777" w:rsidTr="00CD2945">
        <w:tc>
          <w:tcPr>
            <w:tcW w:w="988" w:type="dxa"/>
          </w:tcPr>
          <w:p w14:paraId="469DB0C2" w14:textId="77777777" w:rsidR="00CD2945" w:rsidRPr="005A6D8B" w:rsidRDefault="00CD2945" w:rsidP="00042E2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8" w:type="dxa"/>
          </w:tcPr>
          <w:p w14:paraId="2A92E0E3" w14:textId="6EC02196" w:rsidR="00CD2945" w:rsidRPr="005A6D8B" w:rsidRDefault="001709E9" w:rsidP="00042E2A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账务处理</w:t>
            </w:r>
          </w:p>
        </w:tc>
        <w:tc>
          <w:tcPr>
            <w:tcW w:w="4253" w:type="dxa"/>
          </w:tcPr>
          <w:p w14:paraId="5FCA3935" w14:textId="5FB3A5CF" w:rsidR="00CD2945" w:rsidRPr="005A6D8B" w:rsidRDefault="00CD2945" w:rsidP="00042E2A">
            <w:pPr>
              <w:pStyle w:val="a3"/>
              <w:spacing w:line="360" w:lineRule="auto"/>
              <w:ind w:firstLineChars="0" w:firstLine="0"/>
              <w:rPr>
                <w:rFonts w:ascii="宋体" w:hAnsi="宋体" w:hint="eastAsia"/>
                <w:sz w:val="24"/>
              </w:rPr>
            </w:pPr>
            <w:r w:rsidRPr="005A6D8B">
              <w:rPr>
                <w:rFonts w:ascii="宋体" w:hAnsi="宋体" w:hint="eastAsia"/>
                <w:sz w:val="24"/>
              </w:rPr>
              <w:t>以上业务审批完成后打印</w:t>
            </w:r>
            <w:r>
              <w:rPr>
                <w:rFonts w:ascii="宋体" w:hAnsi="宋体" w:hint="eastAsia"/>
                <w:sz w:val="24"/>
              </w:rPr>
              <w:t>支出调账</w:t>
            </w:r>
            <w:r w:rsidRPr="005A6D8B">
              <w:rPr>
                <w:rFonts w:ascii="宋体" w:hAnsi="宋体" w:hint="eastAsia"/>
                <w:sz w:val="24"/>
              </w:rPr>
              <w:t>单，将纸质</w:t>
            </w:r>
            <w:r>
              <w:rPr>
                <w:rFonts w:ascii="宋体" w:hAnsi="宋体" w:hint="eastAsia"/>
                <w:sz w:val="24"/>
              </w:rPr>
              <w:t>单据</w:t>
            </w:r>
            <w:r w:rsidRPr="005A6D8B">
              <w:rPr>
                <w:rFonts w:ascii="宋体" w:hAnsi="宋体" w:hint="eastAsia"/>
                <w:sz w:val="24"/>
              </w:rPr>
              <w:t>提交财务资产处</w:t>
            </w:r>
            <w:r w:rsidR="001709E9">
              <w:rPr>
                <w:rFonts w:ascii="宋体" w:hAnsi="宋体" w:hint="eastAsia"/>
                <w:sz w:val="24"/>
              </w:rPr>
              <w:t>进行账务处理</w:t>
            </w:r>
          </w:p>
        </w:tc>
      </w:tr>
    </w:tbl>
    <w:p w14:paraId="131CED8E" w14:textId="77777777" w:rsidR="00CD2945" w:rsidRPr="00F43533" w:rsidRDefault="00CD2945" w:rsidP="00CD2945">
      <w:pPr>
        <w:spacing w:line="360" w:lineRule="auto"/>
        <w:ind w:firstLineChars="224" w:firstLine="538"/>
        <w:rPr>
          <w:rFonts w:ascii="宋体" w:hAnsi="宋体" w:hint="eastAsia"/>
          <w:sz w:val="24"/>
        </w:rPr>
      </w:pPr>
    </w:p>
    <w:p w14:paraId="5C69DFE5" w14:textId="066ABEA7" w:rsidR="00E30F3D" w:rsidRDefault="00CD2945" w:rsidP="00CD2945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三、注意事项</w:t>
      </w:r>
    </w:p>
    <w:p w14:paraId="0C790357" w14:textId="470BF8E1" w:rsidR="00FB444F" w:rsidRDefault="00FB444F" w:rsidP="00CD2945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1.调账申请人应具有转出核算账号和转入核算账号的经费使用权限，方可进行调账申请；</w:t>
      </w:r>
    </w:p>
    <w:p w14:paraId="2908592E" w14:textId="2296C10E" w:rsidR="00CD2945" w:rsidRDefault="00FB444F" w:rsidP="00CD2945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CD2945">
        <w:rPr>
          <w:rFonts w:ascii="宋体" w:hAnsi="宋体" w:hint="eastAsia"/>
          <w:sz w:val="24"/>
        </w:rPr>
        <w:t>.</w:t>
      </w:r>
      <w:r w:rsidR="008C75C3">
        <w:rPr>
          <w:rFonts w:ascii="宋体" w:hAnsi="宋体" w:hint="eastAsia"/>
          <w:sz w:val="24"/>
        </w:rPr>
        <w:t>已</w:t>
      </w:r>
      <w:r w:rsidR="007544A9">
        <w:rPr>
          <w:rFonts w:ascii="宋体" w:hAnsi="宋体" w:hint="eastAsia"/>
          <w:sz w:val="24"/>
        </w:rPr>
        <w:t>验收完成且被认定</w:t>
      </w:r>
      <w:r w:rsidR="008C75C3">
        <w:rPr>
          <w:rFonts w:ascii="宋体" w:hAnsi="宋体" w:hint="eastAsia"/>
          <w:sz w:val="24"/>
        </w:rPr>
        <w:t>的科研项目</w:t>
      </w:r>
      <w:r w:rsidR="007544A9">
        <w:rPr>
          <w:rFonts w:ascii="宋体" w:hAnsi="宋体" w:hint="eastAsia"/>
          <w:sz w:val="24"/>
        </w:rPr>
        <w:t>支出</w:t>
      </w:r>
      <w:r w:rsidR="008C75C3">
        <w:rPr>
          <w:rFonts w:ascii="宋体" w:hAnsi="宋体" w:hint="eastAsia"/>
          <w:sz w:val="24"/>
        </w:rPr>
        <w:t>不应再进行调账；</w:t>
      </w:r>
    </w:p>
    <w:p w14:paraId="1959168D" w14:textId="1482082C" w:rsidR="008C75C3" w:rsidRDefault="00FB444F" w:rsidP="00CD2945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8C75C3">
        <w:rPr>
          <w:rFonts w:ascii="宋体" w:hAnsi="宋体" w:hint="eastAsia"/>
          <w:sz w:val="24"/>
        </w:rPr>
        <w:t>.</w:t>
      </w:r>
      <w:r w:rsidR="008C75C3" w:rsidRPr="008C75C3">
        <w:rPr>
          <w:rFonts w:ascii="宋体" w:hAnsi="宋体" w:hint="eastAsia"/>
          <w:sz w:val="24"/>
        </w:rPr>
        <w:t>已调整的</w:t>
      </w:r>
      <w:r w:rsidR="008C75C3">
        <w:rPr>
          <w:rFonts w:ascii="宋体" w:hAnsi="宋体" w:hint="eastAsia"/>
          <w:sz w:val="24"/>
        </w:rPr>
        <w:t>账务处理</w:t>
      </w:r>
      <w:r w:rsidR="008C75C3" w:rsidRPr="008C75C3">
        <w:rPr>
          <w:rFonts w:ascii="宋体" w:hAnsi="宋体" w:hint="eastAsia"/>
          <w:sz w:val="24"/>
        </w:rPr>
        <w:t>不</w:t>
      </w:r>
      <w:r w:rsidR="008C75C3">
        <w:rPr>
          <w:rFonts w:ascii="宋体" w:hAnsi="宋体" w:hint="eastAsia"/>
          <w:sz w:val="24"/>
        </w:rPr>
        <w:t>应进行重复调账；</w:t>
      </w:r>
    </w:p>
    <w:p w14:paraId="27B1DFC7" w14:textId="38DD5C87" w:rsidR="008C75C3" w:rsidRDefault="00FB444F" w:rsidP="00CD2945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 w:rsidR="008C75C3">
        <w:rPr>
          <w:rFonts w:ascii="宋体" w:hAnsi="宋体" w:hint="eastAsia"/>
          <w:sz w:val="24"/>
        </w:rPr>
        <w:t>.</w:t>
      </w:r>
      <w:r w:rsidR="008C75C3" w:rsidRPr="008C75C3">
        <w:rPr>
          <w:rFonts w:ascii="宋体" w:hAnsi="宋体" w:hint="eastAsia"/>
          <w:sz w:val="24"/>
        </w:rPr>
        <w:t>转出及转入核算账号</w:t>
      </w:r>
      <w:r w:rsidR="00C15493">
        <w:rPr>
          <w:rFonts w:ascii="宋体" w:hAnsi="宋体" w:hint="eastAsia"/>
          <w:sz w:val="24"/>
        </w:rPr>
        <w:t>的经费来源</w:t>
      </w:r>
      <w:r w:rsidR="00142E5A">
        <w:rPr>
          <w:rFonts w:ascii="宋体" w:hAnsi="宋体" w:hint="eastAsia"/>
          <w:sz w:val="24"/>
        </w:rPr>
        <w:t>对应银行账户</w:t>
      </w:r>
      <w:r w:rsidR="008C75C3" w:rsidRPr="008C75C3">
        <w:rPr>
          <w:rFonts w:ascii="宋体" w:hAnsi="宋体" w:hint="eastAsia"/>
          <w:sz w:val="24"/>
        </w:rPr>
        <w:t>必须一致</w:t>
      </w:r>
      <w:r w:rsidR="008C75C3">
        <w:rPr>
          <w:rFonts w:ascii="宋体" w:hAnsi="宋体" w:hint="eastAsia"/>
          <w:sz w:val="24"/>
        </w:rPr>
        <w:t>，核算账号对应</w:t>
      </w:r>
      <w:r w:rsidR="00C15493">
        <w:rPr>
          <w:rFonts w:ascii="宋体" w:hAnsi="宋体" w:hint="eastAsia"/>
          <w:sz w:val="24"/>
        </w:rPr>
        <w:t>的经费来源</w:t>
      </w:r>
      <w:r w:rsidR="00142E5A">
        <w:rPr>
          <w:rFonts w:ascii="宋体" w:hAnsi="宋体" w:hint="eastAsia"/>
          <w:sz w:val="24"/>
        </w:rPr>
        <w:t>及银行账户</w:t>
      </w:r>
      <w:r w:rsidR="008C75C3">
        <w:rPr>
          <w:rFonts w:ascii="宋体" w:hAnsi="宋体" w:hint="eastAsia"/>
          <w:sz w:val="24"/>
        </w:rPr>
        <w:t>见</w:t>
      </w:r>
      <w:r w:rsidR="00EB6032">
        <w:rPr>
          <w:rFonts w:ascii="宋体" w:hAnsi="宋体" w:hint="eastAsia"/>
          <w:sz w:val="24"/>
        </w:rPr>
        <w:t>“科研财务助理手册2.1核算账号及经费来源简介”</w:t>
      </w:r>
      <w:r w:rsidR="008C75C3">
        <w:rPr>
          <w:rFonts w:ascii="宋体" w:hAnsi="宋体" w:hint="eastAsia"/>
          <w:sz w:val="24"/>
        </w:rPr>
        <w:t>；</w:t>
      </w:r>
    </w:p>
    <w:p w14:paraId="7A6DFCB8" w14:textId="35413B90" w:rsidR="008C75C3" w:rsidRPr="00CD2945" w:rsidRDefault="00FB444F" w:rsidP="00EB6032">
      <w:pPr>
        <w:spacing w:line="360" w:lineRule="auto"/>
        <w:ind w:firstLineChars="236" w:firstLine="56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8C75C3">
        <w:rPr>
          <w:rFonts w:ascii="宋体" w:hAnsi="宋体" w:hint="eastAsia"/>
          <w:sz w:val="24"/>
        </w:rPr>
        <w:t>.</w:t>
      </w:r>
      <w:r w:rsidR="008C75C3" w:rsidRPr="008C75C3">
        <w:rPr>
          <w:rFonts w:ascii="宋体" w:hAnsi="宋体" w:hint="eastAsia"/>
          <w:sz w:val="24"/>
        </w:rPr>
        <w:t>调入经费支出</w:t>
      </w:r>
      <w:r w:rsidR="00EB6032">
        <w:rPr>
          <w:rFonts w:ascii="宋体" w:hAnsi="宋体" w:hint="eastAsia"/>
          <w:sz w:val="24"/>
        </w:rPr>
        <w:t>应与调入核算账号</w:t>
      </w:r>
      <w:r w:rsidR="005E24AB">
        <w:rPr>
          <w:rFonts w:ascii="宋体" w:hAnsi="宋体" w:hint="eastAsia"/>
          <w:sz w:val="24"/>
        </w:rPr>
        <w:t>相关，且与科研项目</w:t>
      </w:r>
      <w:r w:rsidR="00EB6032">
        <w:rPr>
          <w:rFonts w:ascii="宋体" w:hAnsi="宋体" w:hint="eastAsia"/>
          <w:sz w:val="24"/>
        </w:rPr>
        <w:t>执行周期及</w:t>
      </w:r>
      <w:r w:rsidR="008C75C3" w:rsidRPr="008C75C3">
        <w:rPr>
          <w:rFonts w:ascii="宋体" w:hAnsi="宋体" w:hint="eastAsia"/>
          <w:sz w:val="24"/>
        </w:rPr>
        <w:t>项目预算一致</w:t>
      </w:r>
      <w:r w:rsidR="008C75C3">
        <w:rPr>
          <w:rFonts w:ascii="宋体" w:hAnsi="宋体" w:hint="eastAsia"/>
          <w:sz w:val="24"/>
        </w:rPr>
        <w:t>。</w:t>
      </w:r>
    </w:p>
    <w:sectPr w:rsidR="008C75C3" w:rsidRPr="00CD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BE2A" w14:textId="77777777" w:rsidR="0074240A" w:rsidRDefault="0074240A" w:rsidP="00F24BDC">
      <w:r>
        <w:separator/>
      </w:r>
    </w:p>
  </w:endnote>
  <w:endnote w:type="continuationSeparator" w:id="0">
    <w:p w14:paraId="7F913604" w14:textId="77777777" w:rsidR="0074240A" w:rsidRDefault="0074240A" w:rsidP="00F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58C9" w14:textId="77777777" w:rsidR="0074240A" w:rsidRDefault="0074240A" w:rsidP="00F24BDC">
      <w:r>
        <w:separator/>
      </w:r>
    </w:p>
  </w:footnote>
  <w:footnote w:type="continuationSeparator" w:id="0">
    <w:p w14:paraId="759E308A" w14:textId="77777777" w:rsidR="0074240A" w:rsidRDefault="0074240A" w:rsidP="00F2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3D"/>
    <w:rsid w:val="000E2B61"/>
    <w:rsid w:val="000F1EF3"/>
    <w:rsid w:val="00105195"/>
    <w:rsid w:val="00142E5A"/>
    <w:rsid w:val="001630C3"/>
    <w:rsid w:val="001709E9"/>
    <w:rsid w:val="001840D7"/>
    <w:rsid w:val="001A5F5B"/>
    <w:rsid w:val="001C4F05"/>
    <w:rsid w:val="001C5523"/>
    <w:rsid w:val="00280C60"/>
    <w:rsid w:val="002F0CD2"/>
    <w:rsid w:val="003A5366"/>
    <w:rsid w:val="0043000F"/>
    <w:rsid w:val="004A1FFD"/>
    <w:rsid w:val="00590447"/>
    <w:rsid w:val="005D0F28"/>
    <w:rsid w:val="005D3FC9"/>
    <w:rsid w:val="005E24AB"/>
    <w:rsid w:val="006123BE"/>
    <w:rsid w:val="006735CF"/>
    <w:rsid w:val="006A7FF9"/>
    <w:rsid w:val="0074240A"/>
    <w:rsid w:val="007544A9"/>
    <w:rsid w:val="00774AA1"/>
    <w:rsid w:val="007B2F07"/>
    <w:rsid w:val="00804C4B"/>
    <w:rsid w:val="00822920"/>
    <w:rsid w:val="0087475F"/>
    <w:rsid w:val="00884526"/>
    <w:rsid w:val="008C75C3"/>
    <w:rsid w:val="008D7E0E"/>
    <w:rsid w:val="00912973"/>
    <w:rsid w:val="009275A8"/>
    <w:rsid w:val="009621A4"/>
    <w:rsid w:val="00A27E6B"/>
    <w:rsid w:val="00A611A7"/>
    <w:rsid w:val="00A916CC"/>
    <w:rsid w:val="00A92B42"/>
    <w:rsid w:val="00AF52DD"/>
    <w:rsid w:val="00B506CE"/>
    <w:rsid w:val="00BF4C32"/>
    <w:rsid w:val="00C11450"/>
    <w:rsid w:val="00C15493"/>
    <w:rsid w:val="00CD20BA"/>
    <w:rsid w:val="00CD2945"/>
    <w:rsid w:val="00D245A5"/>
    <w:rsid w:val="00DB2632"/>
    <w:rsid w:val="00DC57F3"/>
    <w:rsid w:val="00E30F3D"/>
    <w:rsid w:val="00E5444F"/>
    <w:rsid w:val="00E828CF"/>
    <w:rsid w:val="00EB6032"/>
    <w:rsid w:val="00EE197F"/>
    <w:rsid w:val="00F24BDC"/>
    <w:rsid w:val="00F43533"/>
    <w:rsid w:val="00FB444F"/>
    <w:rsid w:val="00FD6D5F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D7E3"/>
  <w15:chartTrackingRefBased/>
  <w15:docId w15:val="{128D9714-050C-4062-AC82-135A4EA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3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3D"/>
    <w:pPr>
      <w:ind w:firstLineChars="200" w:firstLine="420"/>
    </w:pPr>
  </w:style>
  <w:style w:type="table" w:styleId="a4">
    <w:name w:val="Table Grid"/>
    <w:basedOn w:val="a1"/>
    <w:uiPriority w:val="39"/>
    <w:rsid w:val="0088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B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BD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F2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BD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20</cp:revision>
  <cp:lastPrinted>2024-10-30T08:09:00Z</cp:lastPrinted>
  <dcterms:created xsi:type="dcterms:W3CDTF">2024-10-30T02:42:00Z</dcterms:created>
  <dcterms:modified xsi:type="dcterms:W3CDTF">2024-11-04T03:11:00Z</dcterms:modified>
</cp:coreProperties>
</file>